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03" w:rsidRDefault="002471E7" w:rsidP="004808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791845</wp:posOffset>
                </wp:positionV>
                <wp:extent cx="5774690" cy="370840"/>
                <wp:effectExtent l="0" t="0" r="16510" b="10160"/>
                <wp:wrapSquare wrapText="bothSides"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370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803" w:rsidRPr="00C813AF" w:rsidRDefault="00480803" w:rsidP="00480803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  <w:r w:rsidRPr="000B2C5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3 Der Pazifische Feuerring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05pt;margin-top:62.35pt;width:454.7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" o:allowincell="f" fillcolor="#ddd" stroked="f">
                <v:shadow on="t" color="silver" offset="3pt,3pt"/>
                <v:textbox>
                  <w:txbxContent>
                    <w:p w:rsidR="00480803" w:rsidRPr="00C813AF" w:rsidRDefault="00480803" w:rsidP="00480803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3</w:t>
                      </w:r>
                      <w:r w:rsidRPr="000B2C5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.1.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3 Der Pazifische Feuerring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80803" w:rsidRDefault="002471E7" w:rsidP="00480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EC3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62625" cy="3238500"/>
            <wp:effectExtent l="19050" t="19050" r="9525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0803" w:rsidRPr="001E1602" w:rsidRDefault="00480803" w:rsidP="00480803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480803" w:rsidRDefault="00480803" w:rsidP="00480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803" w:rsidRPr="00DD11F6" w:rsidRDefault="00480803" w:rsidP="00480803">
      <w:pPr>
        <w:spacing w:after="0" w:line="240" w:lineRule="auto"/>
        <w:rPr>
          <w:rFonts w:ascii="Arial" w:hAnsi="Arial" w:cs="Arial"/>
          <w:sz w:val="12"/>
          <w:szCs w:val="24"/>
        </w:rPr>
      </w:pPr>
    </w:p>
    <w:p w:rsidR="00480803" w:rsidRPr="00743852" w:rsidRDefault="00480803" w:rsidP="00480803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743852">
        <w:rPr>
          <w:rFonts w:ascii="Arial" w:eastAsia="Times New Roman" w:hAnsi="Arial" w:cs="Arial"/>
          <w:bCs/>
          <w:sz w:val="24"/>
          <w:szCs w:val="24"/>
          <w:lang w:eastAsia="de-DE"/>
        </w:rPr>
        <w:t>Rund um den Pazifik gibt es Plattengrenzen, an denen es immer wieder zu Vulka</w:t>
      </w:r>
      <w:r w:rsidRPr="00743852">
        <w:rPr>
          <w:rFonts w:ascii="Arial" w:eastAsia="Times New Roman" w:hAnsi="Arial" w:cs="Arial"/>
          <w:bCs/>
          <w:sz w:val="24"/>
          <w:szCs w:val="24"/>
          <w:lang w:eastAsia="de-DE"/>
        </w:rPr>
        <w:t>n</w:t>
      </w:r>
      <w:r w:rsidRPr="0074385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ausbrüchen kommt. </w:t>
      </w:r>
    </w:p>
    <w:p w:rsidR="00480803" w:rsidRDefault="00480803" w:rsidP="0048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743852">
        <w:rPr>
          <w:rFonts w:ascii="Arial" w:eastAsia="Times New Roman" w:hAnsi="Arial" w:cs="Arial"/>
          <w:sz w:val="24"/>
          <w:szCs w:val="24"/>
          <w:lang w:eastAsia="de-DE"/>
        </w:rPr>
        <w:t>Der Pazifische Feuerring umrahmt den Pazifik von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drei Seiten. 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ist über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40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000 Kilometer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lang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 Es handelt sich um eine der aktivsten Vulkanregionen der Welt.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Sie umfasst 450 aktive und „schlafende“ Vulkane.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Entlang des Pazifischen Feuerrings treten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neben Vulkanausbrüchen auch regelmäßig Erd- und Seebeben auf.</w:t>
      </w:r>
    </w:p>
    <w:p w:rsidR="00480803" w:rsidRDefault="00480803" w:rsidP="0048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ie zahlreichen Vulkane entlang des Pazifischen Feuerrings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entstehen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an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Platte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grenzen und </w:t>
      </w:r>
      <w:r>
        <w:rPr>
          <w:rFonts w:ascii="Arial" w:eastAsia="Times New Roman" w:hAnsi="Arial" w:cs="Arial"/>
          <w:sz w:val="24"/>
          <w:szCs w:val="24"/>
          <w:lang w:eastAsia="de-DE"/>
        </w:rPr>
        <w:t>Abtauchzonen.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 Hier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kommt es in großer Tiefe zu Gesteinsschmelzen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Das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 Magma bahnt sich seinen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Weg an die Oberfläche</w:t>
      </w:r>
      <w:r>
        <w:rPr>
          <w:rFonts w:ascii="Arial" w:eastAsia="Times New Roman" w:hAnsi="Arial" w:cs="Arial"/>
          <w:sz w:val="24"/>
          <w:szCs w:val="24"/>
          <w:lang w:eastAsia="de-DE"/>
        </w:rPr>
        <w:t>. V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ulkanische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Inselbögen im Meer und Vulkanketten an Land entstehen. Das Magma in den dortigen </w:t>
      </w:r>
      <w:r>
        <w:rPr>
          <w:rFonts w:ascii="Arial" w:eastAsia="Times New Roman" w:hAnsi="Arial" w:cs="Arial"/>
          <w:sz w:val="24"/>
          <w:szCs w:val="24"/>
          <w:lang w:eastAsia="de-DE"/>
        </w:rPr>
        <w:t>V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ulkanen ist zähflüssig. Daher sind die Ausbrüche häufig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auch besonders explosiv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und gefährlich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Das zeigen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die Vulkanausbrüche des Tambora 1815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des Krakatau 1883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 Ind</w:t>
      </w:r>
      <w:r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>nesien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 xml:space="preserve"> oder des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Pinatubo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1991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auf den Philippinen</w:t>
      </w:r>
      <w:r w:rsidRPr="00743852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480803" w:rsidRPr="00DD11F6" w:rsidRDefault="00480803" w:rsidP="0048080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</w:p>
    <w:p w:rsidR="00480803" w:rsidRPr="00D12635" w:rsidRDefault="00480803" w:rsidP="004808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Karte</w:t>
      </w:r>
      <w:r w:rsidRPr="00D12635">
        <w:rPr>
          <w:rFonts w:ascii="Arial" w:hAnsi="Arial" w:cs="Arial"/>
          <w:sz w:val="20"/>
          <w:szCs w:val="20"/>
        </w:rPr>
        <w:t xml:space="preserve">: WBF 2021; </w:t>
      </w:r>
      <w:hyperlink r:id="rId7" w:history="1">
        <w:r w:rsidRPr="007772E6">
          <w:rPr>
            <w:rStyle w:val="Hyperlink"/>
            <w:rFonts w:ascii="Arial" w:hAnsi="Arial" w:cs="Arial"/>
            <w:sz w:val="20"/>
            <w:szCs w:val="20"/>
          </w:rPr>
          <w:t>https://d-maps.com/index.php?lang=de</w:t>
        </w:r>
      </w:hyperlink>
      <w:r>
        <w:rPr>
          <w:rFonts w:ascii="Arial" w:hAnsi="Arial" w:cs="Arial"/>
          <w:sz w:val="20"/>
          <w:szCs w:val="20"/>
        </w:rPr>
        <w:t xml:space="preserve">; Wissensplattform eskp.de, </w:t>
      </w:r>
      <w:hyperlink r:id="rId8" w:history="1">
        <w:r w:rsidRPr="007772E6">
          <w:rPr>
            <w:rStyle w:val="Hyperlink"/>
            <w:rFonts w:ascii="Arial" w:hAnsi="Arial" w:cs="Arial"/>
            <w:sz w:val="20"/>
            <w:szCs w:val="20"/>
          </w:rPr>
          <w:t>https://www.eskp.de/grundlagen/naturgefahren/pazifischer-feuerring-935857/</w:t>
        </w:r>
      </w:hyperlink>
    </w:p>
    <w:p w:rsidR="00480803" w:rsidRDefault="00480803" w:rsidP="004808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Textq</w:t>
      </w:r>
      <w:r w:rsidRPr="00821FF9">
        <w:rPr>
          <w:rFonts w:ascii="Arial" w:hAnsi="Arial" w:cs="Arial"/>
          <w:sz w:val="20"/>
          <w:szCs w:val="20"/>
        </w:rPr>
        <w:t>uelle:</w:t>
      </w:r>
      <w:r>
        <w:rPr>
          <w:rFonts w:ascii="Arial" w:hAnsi="Arial" w:cs="Arial"/>
          <w:sz w:val="20"/>
          <w:szCs w:val="20"/>
        </w:rPr>
        <w:t xml:space="preserve"> Wissensplattform eskp.de, </w:t>
      </w:r>
      <w:hyperlink r:id="rId9" w:history="1">
        <w:r w:rsidRPr="007772E6">
          <w:rPr>
            <w:rStyle w:val="Hyperlink"/>
            <w:rFonts w:ascii="Arial" w:hAnsi="Arial" w:cs="Arial"/>
            <w:sz w:val="20"/>
            <w:szCs w:val="20"/>
          </w:rPr>
          <w:t>https://www.eskp.de/grundlagen/naturgefahren/pazifischer-feuerring-935857/</w:t>
        </w:r>
      </w:hyperlink>
    </w:p>
    <w:p w:rsidR="00480803" w:rsidRPr="00821FF9" w:rsidRDefault="00480803" w:rsidP="004808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gekürzt und ergänzt</w:t>
      </w:r>
    </w:p>
    <w:p w:rsidR="00480803" w:rsidRPr="00821FF9" w:rsidRDefault="00480803" w:rsidP="004808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0803" w:rsidRDefault="00480803" w:rsidP="004808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803" w:rsidRPr="00C5149B" w:rsidRDefault="00480803" w:rsidP="004808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149B">
        <w:rPr>
          <w:rFonts w:ascii="Arial" w:hAnsi="Arial" w:cs="Arial"/>
          <w:b/>
          <w:sz w:val="24"/>
          <w:szCs w:val="24"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75"/>
        <w:gridCol w:w="8442"/>
      </w:tblGrid>
      <w:tr w:rsidR="00480803" w:rsidRPr="001A0EB5" w:rsidTr="007F2C71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480803" w:rsidRPr="001A0EB5" w:rsidRDefault="002471E7" w:rsidP="007F2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AB5">
              <w:rPr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2" name="Grafik 6" descr="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480803" w:rsidRPr="001A0EB5" w:rsidRDefault="00480803" w:rsidP="007F2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480803" w:rsidRPr="001A0EB5" w:rsidRDefault="00480803" w:rsidP="007F2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Beschreibe den Verlauf des Pazifischen Feuerrings. </w:t>
            </w:r>
          </w:p>
        </w:tc>
      </w:tr>
      <w:tr w:rsidR="00480803" w:rsidRPr="001A0EB5" w:rsidTr="007F2C71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480803" w:rsidRPr="001A0EB5" w:rsidRDefault="002471E7" w:rsidP="007F2C7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145EC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480803" w:rsidRPr="001A0EB5" w:rsidRDefault="00480803" w:rsidP="007F2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480803" w:rsidRPr="00821FF9" w:rsidRDefault="00480803" w:rsidP="007F2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Erläutere, woher der Pazifische Feuerring seinen Namen hat und warum er so gefährlich ist. </w:t>
            </w:r>
          </w:p>
        </w:tc>
      </w:tr>
    </w:tbl>
    <w:p w:rsidR="00480803" w:rsidRPr="007409B0" w:rsidRDefault="00480803" w:rsidP="00480803">
      <w:pPr>
        <w:spacing w:after="0" w:line="240" w:lineRule="auto"/>
        <w:rPr>
          <w:rStyle w:val="lbl"/>
          <w:rFonts w:ascii="Arial" w:hAnsi="Arial" w:cs="Arial"/>
          <w:sz w:val="2"/>
          <w:szCs w:val="2"/>
        </w:rPr>
      </w:pPr>
      <w:bookmarkStart w:id="0" w:name="_GoBack"/>
      <w:bookmarkEnd w:id="0"/>
    </w:p>
    <w:p w:rsidR="00A808E4" w:rsidRDefault="00A808E4"/>
    <w:sectPr w:rsidR="00A808E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71" w:rsidRDefault="007F2C71">
      <w:pPr>
        <w:spacing w:after="0" w:line="240" w:lineRule="auto"/>
      </w:pPr>
      <w:r>
        <w:separator/>
      </w:r>
    </w:p>
  </w:endnote>
  <w:endnote w:type="continuationSeparator" w:id="0">
    <w:p w:rsidR="007F2C71" w:rsidRDefault="007F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71" w:rsidRPr="005909E0" w:rsidRDefault="007F2C71" w:rsidP="007F2C71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7F2C71" w:rsidRPr="005909E0" w:rsidRDefault="007F2C71" w:rsidP="007F2C7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6"/>
        <w:szCs w:val="20"/>
        <w:lang w:eastAsia="de-DE"/>
      </w:rPr>
    </w:pPr>
  </w:p>
  <w:p w:rsidR="007F2C71" w:rsidRDefault="00480803" w:rsidP="007F2C71">
    <w:pPr>
      <w:tabs>
        <w:tab w:val="right" w:pos="9072"/>
      </w:tabs>
      <w:spacing w:after="0" w:line="240" w:lineRule="auto"/>
    </w:pPr>
    <w:r w:rsidRPr="005909E0">
      <w:rPr>
        <w:rFonts w:ascii="Arial" w:eastAsia="Times New Roman" w:hAnsi="Arial"/>
        <w:sz w:val="20"/>
        <w:szCs w:val="20"/>
        <w:lang w:eastAsia="de-DE"/>
      </w:rPr>
      <w:t xml:space="preserve">© Institut für </w:t>
    </w:r>
    <w:r w:rsidRPr="005909E0">
      <w:rPr>
        <w:rFonts w:ascii="Arial" w:eastAsia="Times New Roman" w:hAnsi="Arial"/>
        <w:b/>
        <w:sz w:val="20"/>
        <w:szCs w:val="20"/>
        <w:lang w:eastAsia="de-DE"/>
      </w:rPr>
      <w:t>W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eltkunde in </w:t>
    </w:r>
    <w:r w:rsidRPr="005909E0">
      <w:rPr>
        <w:rFonts w:ascii="Arial" w:eastAsia="Times New Roman" w:hAnsi="Arial"/>
        <w:b/>
        <w:sz w:val="20"/>
        <w:szCs w:val="20"/>
        <w:lang w:eastAsia="de-DE"/>
      </w:rPr>
      <w:t>B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ildung und </w:t>
    </w:r>
    <w:r w:rsidRPr="005909E0">
      <w:rPr>
        <w:rFonts w:ascii="Arial" w:eastAsia="Times New Roman" w:hAnsi="Arial"/>
        <w:b/>
        <w:sz w:val="20"/>
        <w:szCs w:val="20"/>
        <w:lang w:eastAsia="de-DE"/>
      </w:rPr>
      <w:t>F</w:t>
    </w:r>
    <w:r w:rsidRPr="005909E0">
      <w:rPr>
        <w:rFonts w:ascii="Arial" w:eastAsia="Times New Roman" w:hAnsi="Arial"/>
        <w:sz w:val="20"/>
        <w:szCs w:val="20"/>
        <w:lang w:eastAsia="de-DE"/>
      </w:rPr>
      <w:t>orschung</w:t>
    </w:r>
    <w:r w:rsidRPr="005909E0">
      <w:rPr>
        <w:rFonts w:ascii="Arial" w:eastAsia="Times New Roman" w:hAnsi="Arial"/>
        <w:sz w:val="20"/>
        <w:szCs w:val="20"/>
        <w:lang w:eastAsia="de-DE"/>
      </w:rPr>
      <w:tab/>
    </w:r>
    <w:hyperlink r:id="rId1" w:history="1">
      <w:r w:rsidRPr="005909E0">
        <w:rPr>
          <w:rFonts w:ascii="Arial" w:eastAsia="Times New Roman" w:hAnsi="Arial"/>
          <w:color w:val="0000FF"/>
          <w:sz w:val="20"/>
          <w:szCs w:val="20"/>
          <w:u w:val="single"/>
          <w:lang w:eastAsia="de-DE"/>
        </w:rPr>
        <w:t>www.wbf-medien.de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71" w:rsidRDefault="007F2C71">
      <w:pPr>
        <w:spacing w:after="0" w:line="240" w:lineRule="auto"/>
      </w:pPr>
      <w:r>
        <w:separator/>
      </w:r>
    </w:p>
  </w:footnote>
  <w:footnote w:type="continuationSeparator" w:id="0">
    <w:p w:rsidR="007F2C71" w:rsidRDefault="007F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71" w:rsidRPr="003F3FE1" w:rsidRDefault="00480803" w:rsidP="007F2C71">
    <w:pPr>
      <w:pBdr>
        <w:bottom w:val="single" w:sz="4" w:space="1" w:color="auto"/>
      </w:pBd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  <w:lang w:eastAsia="de-DE"/>
      </w:rPr>
    </w:pPr>
    <w:r w:rsidRPr="003F3FE1">
      <w:rPr>
        <w:rFonts w:ascii="Arial" w:eastAsia="Times New Roman" w:hAnsi="Arial"/>
        <w:b/>
        <w:sz w:val="20"/>
        <w:szCs w:val="20"/>
        <w:lang w:eastAsia="de-DE"/>
      </w:rPr>
      <w:t>WBF-DVD</w:t>
    </w:r>
    <w:r>
      <w:rPr>
        <w:rFonts w:ascii="Arial" w:eastAsia="Times New Roman" w:hAnsi="Arial"/>
        <w:b/>
        <w:i/>
        <w:sz w:val="16"/>
        <w:szCs w:val="16"/>
        <w:lang w:eastAsia="de-DE"/>
      </w:rPr>
      <w:t xml:space="preserve"> </w:t>
    </w:r>
    <w:r w:rsidRPr="00CE5624">
      <w:rPr>
        <w:rFonts w:ascii="Arial" w:hAnsi="Arial" w:cs="Arial"/>
        <w:b/>
        <w:i/>
        <w:sz w:val="16"/>
        <w:szCs w:val="20"/>
      </w:rPr>
      <w:t>Kompakt</w:t>
    </w:r>
    <w:r w:rsidRPr="00CE5624">
      <w:rPr>
        <w:rFonts w:ascii="Arial" w:hAnsi="Arial" w:cs="Arial"/>
        <w:b/>
        <w:sz w:val="16"/>
        <w:szCs w:val="20"/>
      </w:rPr>
      <w:t xml:space="preserve"> </w:t>
    </w:r>
    <w:r w:rsidRPr="00CE5624">
      <w:rPr>
        <w:rFonts w:ascii="Arial" w:hAnsi="Arial" w:cs="Arial"/>
        <w:b/>
        <w:i/>
        <w:sz w:val="16"/>
        <w:szCs w:val="20"/>
        <w:vertAlign w:val="superscript"/>
      </w:rPr>
      <w:t>neu</w:t>
    </w:r>
    <w:r w:rsidRPr="003F3FE1">
      <w:rPr>
        <w:rFonts w:ascii="Arial" w:eastAsia="Times New Roman" w:hAnsi="Arial"/>
        <w:sz w:val="20"/>
        <w:szCs w:val="20"/>
        <w:lang w:eastAsia="de-DE"/>
      </w:rPr>
      <w:tab/>
      <w:t xml:space="preserve">„Grundwissen </w:t>
    </w:r>
    <w:r>
      <w:rPr>
        <w:rFonts w:ascii="Arial" w:eastAsia="Times New Roman" w:hAnsi="Arial"/>
        <w:sz w:val="20"/>
        <w:szCs w:val="20"/>
        <w:lang w:eastAsia="de-DE"/>
      </w:rPr>
      <w:t>endogene Kräfte“</w:t>
    </w:r>
    <w:r>
      <w:rPr>
        <w:rFonts w:ascii="Arial" w:eastAsia="Times New Roman" w:hAnsi="Arial"/>
        <w:sz w:val="20"/>
        <w:szCs w:val="20"/>
        <w:lang w:eastAsia="de-DE"/>
      </w:rPr>
      <w:tab/>
      <w:t>3</w:t>
    </w:r>
    <w:r w:rsidRPr="003F3FE1">
      <w:rPr>
        <w:rFonts w:ascii="Arial" w:eastAsia="Times New Roman" w:hAnsi="Arial"/>
        <w:sz w:val="20"/>
        <w:szCs w:val="20"/>
        <w:lang w:eastAsia="de-DE"/>
      </w:rPr>
      <w:t>. Schwerpunkt</w:t>
    </w:r>
  </w:p>
  <w:p w:rsidR="007F2C71" w:rsidRPr="007B407E" w:rsidRDefault="007F2C71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03"/>
    <w:rsid w:val="00145EC3"/>
    <w:rsid w:val="002471E7"/>
    <w:rsid w:val="00480803"/>
    <w:rsid w:val="007F2C71"/>
    <w:rsid w:val="00A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759B95-667C-496B-9348-DE4D562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080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0803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480803"/>
    <w:rPr>
      <w:rFonts w:ascii="Calibri" w:eastAsia="Calibri" w:hAnsi="Calibri" w:cs="Times New Roman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480803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480803"/>
    <w:rPr>
      <w:rFonts w:ascii="Calibri" w:eastAsia="Calibri" w:hAnsi="Calibri" w:cs="Times New Roman"/>
      <w:lang w:val="x-none"/>
    </w:rPr>
  </w:style>
  <w:style w:type="character" w:customStyle="1" w:styleId="lbl">
    <w:name w:val="lbl"/>
    <w:rsid w:val="00480803"/>
  </w:style>
  <w:style w:type="character" w:styleId="Hyperlink">
    <w:name w:val="Hyperlink"/>
    <w:rsid w:val="0048080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0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kp.de/grundlagen/naturgefahren/pazifischer-feuerring-935857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-maps.com/index.php?lang=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eskp.de/grundlagen/naturgefahren/pazifischer-feuerring-935857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24" baseType="variant">
      <vt:variant>
        <vt:i4>7667752</vt:i4>
      </vt:variant>
      <vt:variant>
        <vt:i4>6</vt:i4>
      </vt:variant>
      <vt:variant>
        <vt:i4>0</vt:i4>
      </vt:variant>
      <vt:variant>
        <vt:i4>5</vt:i4>
      </vt:variant>
      <vt:variant>
        <vt:lpwstr>https://www.eskp.de/grundlagen/naturgefahren/pazifischer-feuerring-935857/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https://www.eskp.de/grundlagen/naturgefahren/pazifischer-feuerring-935857/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https://d-maps.com/index.php?lang=de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2022-01-04T14:29:00Z</dcterms:created>
  <dcterms:modified xsi:type="dcterms:W3CDTF">2022-01-04T14:29:00Z</dcterms:modified>
</cp:coreProperties>
</file>